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A34C1E" w14:textId="77777777" w:rsidR="00171BA4" w:rsidRDefault="00171BA4" w:rsidP="00F04273">
      <w:pPr>
        <w:ind w:firstLineChars="0" w:firstLine="0"/>
        <w:jc w:val="left"/>
        <w:rPr>
          <w:szCs w:val="24"/>
        </w:rPr>
      </w:pPr>
    </w:p>
    <w:p w14:paraId="02E110EE" w14:textId="5FD56308" w:rsidR="00171BA4" w:rsidRDefault="008A027D" w:rsidP="00171BA4">
      <w:pPr>
        <w:ind w:firstLine="480"/>
        <w:jc w:val="center"/>
        <w:rPr>
          <w:rFonts w:ascii="黑体" w:eastAsia="黑体" w:hAnsi="黑体" w:hint="eastAsia"/>
          <w:szCs w:val="24"/>
        </w:rPr>
      </w:pPr>
      <w:r>
        <w:rPr>
          <w:rFonts w:ascii="黑体" w:eastAsia="黑体" w:hAnsi="黑体" w:hint="eastAsia"/>
          <w:szCs w:val="24"/>
          <w:lang w:eastAsia="zh-TW"/>
        </w:rPr>
        <w:t>一、第二講：“東漢六朝天師道儀式”</w:t>
      </w:r>
      <w:r w:rsidR="00171BA4">
        <w:rPr>
          <w:rStyle w:val="a4"/>
          <w:rFonts w:ascii="黑体" w:eastAsia="黑体" w:hAnsi="黑体"/>
          <w:szCs w:val="24"/>
        </w:rPr>
        <w:footnoteReference w:id="1"/>
      </w:r>
    </w:p>
    <w:p w14:paraId="5354B49C" w14:textId="7D592613" w:rsidR="00AE6B94" w:rsidRPr="00AE6B94" w:rsidRDefault="00AE6B94" w:rsidP="00171BA4">
      <w:pPr>
        <w:ind w:firstLine="480"/>
        <w:jc w:val="center"/>
        <w:rPr>
          <w:rFonts w:ascii="楷体" w:eastAsia="楷体" w:hAnsi="楷体"/>
          <w:szCs w:val="24"/>
        </w:rPr>
      </w:pPr>
      <w:proofErr w:type="gramStart"/>
      <w:r w:rsidRPr="00AE6B94">
        <w:rPr>
          <w:rFonts w:ascii="楷体" w:eastAsia="楷体" w:hAnsi="楷体" w:hint="eastAsia"/>
          <w:szCs w:val="24"/>
        </w:rPr>
        <w:t>吳楊</w:t>
      </w:r>
      <w:proofErr w:type="gramEnd"/>
      <w:r w:rsidRPr="00AE6B94">
        <w:rPr>
          <w:rFonts w:ascii="楷体" w:eastAsia="楷体" w:hAnsi="楷体" w:hint="eastAsia"/>
          <w:szCs w:val="24"/>
        </w:rPr>
        <w:t xml:space="preserve"> </w:t>
      </w:r>
      <w:proofErr w:type="gramStart"/>
      <w:r w:rsidRPr="00AE6B94">
        <w:rPr>
          <w:rFonts w:ascii="楷体" w:eastAsia="楷体" w:hAnsi="楷体" w:hint="eastAsia"/>
          <w:szCs w:val="24"/>
        </w:rPr>
        <w:t>薛</w:t>
      </w:r>
      <w:proofErr w:type="gramEnd"/>
      <w:r w:rsidRPr="00AE6B94">
        <w:rPr>
          <w:rFonts w:ascii="楷体" w:eastAsia="楷体" w:hAnsi="楷体" w:hint="eastAsia"/>
          <w:szCs w:val="24"/>
        </w:rPr>
        <w:t>聰</w:t>
      </w:r>
    </w:p>
    <w:p w14:paraId="36356DEE" w14:textId="2E8A5B92" w:rsidR="00D50B4E" w:rsidRPr="00D50B4E" w:rsidRDefault="008A027D" w:rsidP="00D50B4E">
      <w:pPr>
        <w:ind w:firstLine="480"/>
        <w:jc w:val="left"/>
        <w:rPr>
          <w:szCs w:val="24"/>
        </w:rPr>
      </w:pPr>
      <w:r w:rsidRPr="00D50B4E">
        <w:rPr>
          <w:rFonts w:hint="eastAsia"/>
          <w:szCs w:val="24"/>
          <w:lang w:eastAsia="zh-TW"/>
        </w:rPr>
        <w:t>（一）內容提要</w:t>
      </w:r>
    </w:p>
    <w:p w14:paraId="5D1B9F57" w14:textId="7751CA9E" w:rsidR="00171BA4" w:rsidRDefault="008A027D" w:rsidP="00D50B4E">
      <w:pPr>
        <w:ind w:firstLine="480"/>
        <w:jc w:val="left"/>
        <w:rPr>
          <w:szCs w:val="24"/>
          <w:lang w:eastAsia="zh-TW"/>
        </w:rPr>
      </w:pPr>
      <w:r w:rsidRPr="00D50B4E">
        <w:rPr>
          <w:rFonts w:hint="eastAsia"/>
          <w:szCs w:val="24"/>
          <w:lang w:eastAsia="zh-TW"/>
        </w:rPr>
        <w:t>天師道儀式是道教儀式三大傳統之一，屬於教團集體儀式。本講主要介紹了天師道的朝禮、上章、授籙等儀式。這些儀式在教團日常活動中佔有相當重要的地位，六朝分裂時期先後傳入北方（漢末）和南方（西晉末），在新的環境中既有承傳又有演變。</w:t>
      </w:r>
    </w:p>
    <w:p w14:paraId="4AB3FC6B" w14:textId="2E35D96D" w:rsidR="00612DD8" w:rsidRDefault="008A027D" w:rsidP="00612DD8">
      <w:pPr>
        <w:ind w:firstLine="480"/>
        <w:rPr>
          <w:szCs w:val="24"/>
        </w:rPr>
      </w:pPr>
      <w:r>
        <w:rPr>
          <w:rFonts w:hint="eastAsia"/>
          <w:szCs w:val="24"/>
          <w:lang w:eastAsia="zh-TW"/>
        </w:rPr>
        <w:t>（</w:t>
      </w:r>
      <w:r w:rsidR="00FA3E68">
        <w:rPr>
          <w:rFonts w:hint="eastAsia"/>
          <w:szCs w:val="24"/>
        </w:rPr>
        <w:t>二</w:t>
      </w:r>
      <w:r>
        <w:rPr>
          <w:rFonts w:hint="eastAsia"/>
          <w:szCs w:val="24"/>
          <w:lang w:eastAsia="zh-TW"/>
        </w:rPr>
        <w:t>）問題討論之二：</w:t>
      </w:r>
      <w:r w:rsidR="003C5C2B">
        <w:rPr>
          <w:rFonts w:hint="eastAsia"/>
          <w:szCs w:val="24"/>
          <w:lang w:eastAsia="zh-TW"/>
        </w:rPr>
        <w:t>天師道</w:t>
      </w:r>
      <w:r w:rsidRPr="00D50B4E">
        <w:rPr>
          <w:rFonts w:hint="eastAsia"/>
          <w:szCs w:val="24"/>
          <w:lang w:eastAsia="zh-TW"/>
        </w:rPr>
        <w:t>祭酒</w:t>
      </w:r>
      <w:r w:rsidR="003C5C2B">
        <w:rPr>
          <w:rFonts w:hint="eastAsia"/>
          <w:szCs w:val="24"/>
          <w:lang w:eastAsia="zh-TW"/>
        </w:rPr>
        <w:t>親</w:t>
      </w:r>
      <w:r w:rsidR="00FA3E68">
        <w:rPr>
          <w:rFonts w:hint="eastAsia"/>
          <w:szCs w:val="24"/>
        </w:rPr>
        <w:t>自</w:t>
      </w:r>
      <w:bookmarkStart w:id="0" w:name="_GoBack"/>
      <w:bookmarkEnd w:id="0"/>
      <w:r w:rsidRPr="00D50B4E">
        <w:rPr>
          <w:rFonts w:hint="eastAsia"/>
          <w:szCs w:val="24"/>
          <w:lang w:eastAsia="zh-TW"/>
        </w:rPr>
        <w:t>上章</w:t>
      </w:r>
      <w:r w:rsidR="003C5C2B">
        <w:rPr>
          <w:rFonts w:hint="eastAsia"/>
          <w:szCs w:val="24"/>
        </w:rPr>
        <w:t>？</w:t>
      </w:r>
    </w:p>
    <w:p w14:paraId="5494714C" w14:textId="5DD91B03" w:rsidR="00373082" w:rsidRPr="00052435" w:rsidRDefault="008A027D" w:rsidP="00612DD8">
      <w:pPr>
        <w:ind w:firstLine="480"/>
        <w:rPr>
          <w:lang w:eastAsia="zh-TW"/>
        </w:rPr>
      </w:pPr>
      <w:r w:rsidRPr="00052435">
        <w:rPr>
          <w:rFonts w:hint="eastAsia"/>
          <w:szCs w:val="24"/>
          <w:lang w:eastAsia="zh-TW"/>
        </w:rPr>
        <w:t>出官是天師道儀式中重要的環節之一，指祭酒召喚出體內的神靈，在其他體外神靈的幫助下，向天曹進呈為道民或自己所上的章表。吳楊老師在第一講中</w:t>
      </w:r>
      <w:r w:rsidRPr="00052435">
        <w:rPr>
          <w:rFonts w:hint="eastAsia"/>
          <w:lang w:eastAsia="zh-TW"/>
        </w:rPr>
        <w:t>用文獻和田野資料（科儀抄本《章秘雲路》）證明祭酒在存思狀態中上天呈章。該話題引起了專門的討論。如王</w:t>
      </w:r>
      <w:r>
        <w:rPr>
          <w:rFonts w:hint="eastAsia"/>
        </w:rPr>
        <w:t>里</w:t>
      </w:r>
      <w:r w:rsidRPr="00052435">
        <w:rPr>
          <w:rFonts w:hint="eastAsia"/>
          <w:lang w:eastAsia="zh-TW"/>
        </w:rPr>
        <w:t>孟談到，【這種上章或者上表的存思法，在教內俗稱“夢大表”（因為需要存思的時間特長）。有的秘旨上將這一節次的名稱叫做《拜表大乘路》。存思上天的路線與吳楊老師課上講的《章秘雲路》相同。】而且，【道教自古以來就是重視師徒傳授，道教做齋醮所立的六幕中，就有師幕一說，凡道場開啟皆要啟師。進章之所以需要天師，一是師恩正盟，再者也是自己籙職不夠直接覲見三寶。是道教神系信仰的等級與神職信仰所影響的。】金堂道協楊元通還有補充，【出官發爐都是科儀之秘傳，各派傳承又有不同比如出的官將有十二人，廿四人，三十六人，從心，肝，腎出的，非常複雜</w:t>
      </w:r>
      <w:r>
        <w:rPr>
          <w:rFonts w:hint="eastAsia"/>
        </w:rPr>
        <w:t>。</w:t>
      </w:r>
      <w:r w:rsidRPr="00052435">
        <w:rPr>
          <w:rFonts w:hint="eastAsia"/>
          <w:lang w:eastAsia="zh-TW"/>
        </w:rPr>
        <w:t>】</w:t>
      </w:r>
    </w:p>
    <w:p w14:paraId="578A58F8" w14:textId="5C0FDB60" w:rsidR="002C0284" w:rsidRPr="00052435" w:rsidRDefault="008A027D" w:rsidP="00612DD8">
      <w:pPr>
        <w:ind w:firstLine="480"/>
        <w:rPr>
          <w:lang w:eastAsia="zh-TW"/>
        </w:rPr>
      </w:pPr>
      <w:r w:rsidRPr="00052435">
        <w:rPr>
          <w:rFonts w:hint="eastAsia"/>
          <w:lang w:eastAsia="zh-TW"/>
        </w:rPr>
        <w:t>呂鵬志首先回應了教內道長的發言，【王道長提到與江西秘訣抄本和田野資料《章秘雲路》類似的“拜表大乘路”（俗稱“夢大表”），張道長引錄了宋元道法書中類似的“九靈飛步章奏秘法”等資料。我認為，出官、拜</w:t>
      </w:r>
      <w:r w:rsidRPr="00052435">
        <w:rPr>
          <w:lang w:eastAsia="zh-TW"/>
        </w:rPr>
        <w:t>/</w:t>
      </w:r>
      <w:r w:rsidRPr="00052435">
        <w:rPr>
          <w:rFonts w:hint="eastAsia"/>
          <w:lang w:eastAsia="zh-TW"/>
        </w:rPr>
        <w:t>伏章儀節發端于東漢漢中天師道，陶弘景著《登真隱訣》說“出官之儀本出漢中舊法”可證。至東晉末劉宋初上清經派將此儀法稍加改編，收入上清科範彙編《太真科》（後被《赤松子章暦》引錄）。自宋代以來，由於受內丹、雷法等新道法的影響，出官、拜</w:t>
      </w:r>
      <w:r w:rsidRPr="00052435">
        <w:rPr>
          <w:lang w:eastAsia="zh-TW"/>
        </w:rPr>
        <w:t>/</w:t>
      </w:r>
      <w:r w:rsidRPr="00052435">
        <w:rPr>
          <w:rFonts w:hint="eastAsia"/>
          <w:lang w:eastAsia="zh-TW"/>
        </w:rPr>
        <w:t>伏章儀節添入了很多新的內容，例如根據《老君骷髏圖》存思身體某個部位相應就到達天上或地獄的某個地方。今天各地道教所見出官、拜</w:t>
      </w:r>
      <w:r w:rsidRPr="00052435">
        <w:rPr>
          <w:lang w:eastAsia="zh-TW"/>
        </w:rPr>
        <w:t>/</w:t>
      </w:r>
      <w:r w:rsidRPr="00052435">
        <w:rPr>
          <w:rFonts w:hint="eastAsia"/>
          <w:lang w:eastAsia="zh-TW"/>
        </w:rPr>
        <w:t>伏章儀節相當繁複，做的時間很長，與早期天師道相比已有較</w:t>
      </w:r>
      <w:r w:rsidRPr="00052435">
        <w:rPr>
          <w:rFonts w:hint="eastAsia"/>
          <w:lang w:eastAsia="zh-TW"/>
        </w:rPr>
        <w:lastRenderedPageBreak/>
        <w:t>大差異。不過，自漢迄今，祭酒在存思狀態中出官並與“奏章真官”或官將吏兵一同上天呈章的基本模式沒變，這一個案說明道教儀式的確是源遠流長。】</w:t>
      </w:r>
    </w:p>
    <w:p w14:paraId="7183FFE7" w14:textId="4EC92F0A" w:rsidR="002C0284" w:rsidRPr="00052435" w:rsidRDefault="008A027D" w:rsidP="00F056CD">
      <w:pPr>
        <w:ind w:firstLine="480"/>
        <w:rPr>
          <w:lang w:eastAsia="zh-TW"/>
        </w:rPr>
      </w:pPr>
      <w:r w:rsidRPr="00052435">
        <w:rPr>
          <w:rFonts w:hint="eastAsia"/>
          <w:lang w:eastAsia="zh-TW"/>
        </w:rPr>
        <w:t>關於此問題的討論集中在呂鵬志教授與臺灣輔仁大學張超然之間展開。張教授對該現象曾有專門論述</w:t>
      </w:r>
      <w:r w:rsidR="007C0F00" w:rsidRPr="00052435">
        <w:rPr>
          <w:rStyle w:val="a4"/>
          <w:rFonts w:ascii="Songti SC" w:eastAsia="Songti SC" w:hAnsi="Songti SC"/>
        </w:rPr>
        <w:footnoteReference w:id="2"/>
      </w:r>
      <w:r w:rsidRPr="00052435">
        <w:rPr>
          <w:rFonts w:hint="eastAsia"/>
          <w:lang w:eastAsia="zh-TW"/>
        </w:rPr>
        <w:t>。課下討論中，他主要就儀式文獻的理解展開討論：【</w:t>
      </w:r>
      <w:r w:rsidRPr="00052435">
        <w:rPr>
          <w:lang w:eastAsia="zh-TW"/>
        </w:rPr>
        <w:t>PPT</w:t>
      </w:r>
      <w:r w:rsidRPr="00052435">
        <w:rPr>
          <w:rFonts w:hint="eastAsia"/>
          <w:lang w:eastAsia="zh-TW"/>
        </w:rPr>
        <w:t>所引的</w:t>
      </w:r>
      <w:r w:rsidRPr="008A027D">
        <w:rPr>
          <w:rFonts w:ascii="Times New Roman" w:hAnsi="Times New Roman" w:cs="Times New Roman"/>
          <w:lang w:eastAsia="zh-TW"/>
        </w:rPr>
        <w:t>S203</w:t>
      </w:r>
      <w:r w:rsidRPr="00052435">
        <w:rPr>
          <w:rFonts w:hint="eastAsia"/>
          <w:lang w:eastAsia="zh-TW"/>
        </w:rPr>
        <w:t>，如果根據目前的斷句，“臣［妾］謹為男女子王甲拜度錄章一通，上詣三天曹，伏須告報。”似乎是祭酒需要上天呈章。但這個斷句可能有問題，“臣［妾］謹為”一句應與前字連讀，應作“……各二人出，操臣［妾］謹為男女子王甲拜度錄章一通，上詣三天曹，伏須告報。”即是祭酒“謹因”所出之官，由他們操持章本，上詣三天曹呈章。祭酒則伏拜于章案之前，等待呈章官將回返報告，即所謂“伏須告報”。】他進而根據《赤松子章曆》的幾份章文範本作為斷句的依據，即《赤松子章曆》卷三有：“恩惟太上大道君分別云云。謹因眾官云云，操臣謹拜上〈三天大道仰謝身年七世巳來及生世三師父母存亡陰罪陽過乞丐長生永保長存口啟章〉一通，上詣太上三天曹。”卷五有：“恩惟太上云云，操臣為依常品拜上十月五日三㑹大慶言功口啟章一通云云。”他認為，【這兩處引文，都將所出眾官省略，故稱云云。但“操臣謹拜上（某）章一通”或“操臣為依常品拜上（某）章一通”之“操”字並未省略。可知，</w:t>
      </w:r>
      <w:r w:rsidRPr="00052435">
        <w:rPr>
          <w:lang w:eastAsia="zh-TW"/>
        </w:rPr>
        <w:t>S203</w:t>
      </w:r>
      <w:r w:rsidRPr="00052435">
        <w:rPr>
          <w:rFonts w:hint="eastAsia"/>
          <w:lang w:eastAsia="zh-TW"/>
        </w:rPr>
        <w:t>之“出操”二字不應連讀。“出”字乃為“謹因眾官出”而省略了。“操”字因與下句讀，所以未曾省略。因此，古代章本的固定形式是“恩惟太上分別，哀臣愚劣”，之後，祭酒口吻即轉向說明恭謹地根據所出官將某某等“出”（出離身中），操持著臣恭謹地拜上的某章，上詣三天曹。而我則在這裡伏拜，官將們必須即時回報。】</w:t>
      </w:r>
    </w:p>
    <w:p w14:paraId="6FFD2AA4" w14:textId="28FF34AC" w:rsidR="002C0284" w:rsidRPr="00052435" w:rsidRDefault="008A027D" w:rsidP="00612DD8">
      <w:pPr>
        <w:ind w:firstLine="480"/>
        <w:rPr>
          <w:lang w:eastAsia="zh-TW"/>
        </w:rPr>
      </w:pPr>
      <w:r w:rsidRPr="00052435">
        <w:rPr>
          <w:rFonts w:hint="eastAsia"/>
          <w:lang w:eastAsia="zh-TW"/>
        </w:rPr>
        <w:t>另外，張教授還注意到，【上章儀節之“出官”有一句“出者嚴裝顯服，住立臣前後，鹹受臣口中辭語，分別關啟……”。如果祭酒也一同升天，如何需要將其辭意轉達操章官將呢？又有“操章”一節，祭酒重新叮嚀所出身中官吏、書佐，要求他們“摩研沾筆，隨章上詣三天曹。誤字為正，脫字為定。有君曆關，有吏次啟。必使投達，無令錯互。上官典者，有所譴卻，閉口炁升，慎勿稽停。……事訖，還複宮室。”（</w:t>
      </w:r>
      <w:r w:rsidRPr="00052435">
        <w:rPr>
          <w:lang w:eastAsia="zh-TW"/>
        </w:rPr>
        <w:t>S203</w:t>
      </w:r>
      <w:r w:rsidRPr="00052435">
        <w:rPr>
          <w:rFonts w:hint="eastAsia"/>
          <w:lang w:eastAsia="zh-TW"/>
        </w:rPr>
        <w:t>）這不也說明了祭酒沒有上天呈章嗎？否則祭酒何須如此叮嚀這些呈章之官吏書佐代為修訂章文，關啟君吏，以及務必將章本準確投達呢？而《赤松子章曆》之</w:t>
      </w:r>
      <w:r w:rsidRPr="00052435">
        <w:rPr>
          <w:rFonts w:hint="eastAsia"/>
          <w:lang w:eastAsia="zh-TW"/>
        </w:rPr>
        <w:lastRenderedPageBreak/>
        <w:t>“存思”一段明顯帶有南朝上清或靈寶色彩，何以能夠據之相信漢魏天師道祭酒也以此一方法升天呈章？】也就是說，雖然南朝以後可能受到上清存思法與靈寶天界觀念等影響，出現了祭酒在拜章時存思升天呈章的儀節。後世也不斷地發展此一存思法訣，產生了多種相關圖訣。但根據現存的章文格式，以及上章儀式中出官、操章的內容，漢魏時期的天師道祭酒並不親自升天呈章。</w:t>
      </w:r>
    </w:p>
    <w:p w14:paraId="12680624" w14:textId="05B04985" w:rsidR="002C0284" w:rsidRPr="00052435" w:rsidRDefault="008A027D" w:rsidP="00612DD8">
      <w:pPr>
        <w:ind w:firstLine="480"/>
        <w:rPr>
          <w:lang w:eastAsia="zh-TW"/>
        </w:rPr>
      </w:pPr>
      <w:r w:rsidRPr="00052435">
        <w:rPr>
          <w:rFonts w:hint="eastAsia"/>
          <w:lang w:eastAsia="zh-TW"/>
        </w:rPr>
        <w:t>對此，呂鵬志教授先對斷句依據給出了回復，主要理由是【“臣謹為”云云已經足句，前加動詞“操”字則成為長定語加賓語結構，中古漢語罕見，不符合中古漢語文法。今檢學衡經史子集佛道文獻資料庫，檢索出現“臣謹為”三字的句子，除《道藏》中的“操臣謹為”云云外，均無動詞置前。“出操”連言，指出官和所出之官操章，文義可通。不過毋庸諱言，檢索的“操”字句雖只出現於道書，但不是孤例，似乎可證該動賓結構句在道教文書中可以成立。竊疑“操”字是祭酒下達給官將的慣用語，在章文中原本與“臣謹為”云云之間有行距，但《道藏》刊印時排在了一起，導致今日迷惑難解。例如勞格文教授藏香港新界道教儀式抄本《小施科》，其中第三頁有雲“得衣</w:t>
      </w:r>
      <w:r w:rsidRPr="00052435">
        <w:rPr>
          <w:lang w:eastAsia="zh-TW"/>
        </w:rPr>
        <w:t>/</w:t>
      </w:r>
      <w:r w:rsidRPr="00052435">
        <w:rPr>
          <w:rFonts w:hint="eastAsia"/>
          <w:lang w:eastAsia="zh-TW"/>
        </w:rPr>
        <w:t>財得法</w:t>
      </w:r>
      <w:r w:rsidRPr="00052435">
        <w:rPr>
          <w:lang w:eastAsia="zh-TW"/>
        </w:rPr>
        <w:t>/</w:t>
      </w:r>
      <w:r w:rsidRPr="00052435">
        <w:rPr>
          <w:rFonts w:hint="eastAsia"/>
          <w:lang w:eastAsia="zh-TW"/>
        </w:rPr>
        <w:t>食，各得生天”。與抄本不同，刊刻本《道藏》可能會將交替使用的衣</w:t>
      </w:r>
      <w:r w:rsidRPr="00052435">
        <w:rPr>
          <w:lang w:eastAsia="zh-TW"/>
        </w:rPr>
        <w:t>/</w:t>
      </w:r>
      <w:r w:rsidRPr="00052435">
        <w:rPr>
          <w:rFonts w:hint="eastAsia"/>
          <w:lang w:eastAsia="zh-TW"/>
        </w:rPr>
        <w:t>財兩個小字連刻為“衣財”。疑敦煌寫本和道藏中的“出操”二字就屬於這種情況。目前文獻不足，似乎難有定論。另外，我對章文“伏須吿報”的理解與超然兄不同。我的理解則是臣下我俯伏在此，須向三天曹稟告彙報，而不是要求官將們向我彙報。】</w:t>
      </w:r>
    </w:p>
    <w:p w14:paraId="5ACCC258" w14:textId="4EDCE259" w:rsidR="002C0284" w:rsidRPr="00052435" w:rsidRDefault="008A027D" w:rsidP="00612DD8">
      <w:pPr>
        <w:ind w:firstLine="480"/>
      </w:pPr>
      <w:r w:rsidRPr="00052435">
        <w:rPr>
          <w:rFonts w:hint="eastAsia"/>
          <w:lang w:eastAsia="zh-TW"/>
        </w:rPr>
        <w:t>他進一步說明，為何堅持認為早期天師道祭酒需在存思狀態下（後世道書稱這種狀態是本命元神）率領奏章真官即身中官將吏兵上天呈章。其理由有三：【第一，祭酒上章本就是模仿世俗社會中臣子上奏帝王的制度，如此重大莊嚴的事情，祭酒肯定要親自上天面呈章奏，其手下官將吏兵做的只是操章、開路、整理行李等力氣活。如果只派手下去稟告三天曹，誠恐嚴重失禮矣。第二，《赤松子章暦》卷二“存思”條是證明祭酒親自上天呈章的可靠文獻依據。該條目末尾說祭酒“辭天師，同奏章真官抃躍而回。至奏章之所，便起稱‘以聞（奏）’”。即祭酒在長久跪伏存思上天呈章結束後返回奏章之所，身體起立，口念章文末尾二字“以聞（奏）”。這是祭酒上天奏章的有力證明。敦煌寫本</w:t>
      </w:r>
      <w:r w:rsidRPr="00AF1B13">
        <w:rPr>
          <w:rFonts w:ascii="Times New Roman" w:hAnsi="Times New Roman" w:cs="Times New Roman"/>
          <w:lang w:eastAsia="zh-TW"/>
        </w:rPr>
        <w:t>S203</w:t>
      </w:r>
      <w:r w:rsidRPr="00052435">
        <w:rPr>
          <w:rFonts w:hint="eastAsia"/>
          <w:lang w:eastAsia="zh-TW"/>
        </w:rPr>
        <w:t>收錄章文</w:t>
      </w:r>
      <w:r w:rsidRPr="00AF1B13">
        <w:rPr>
          <w:rFonts w:ascii="Times New Roman" w:hAnsi="Times New Roman" w:cs="Times New Roman"/>
          <w:lang w:eastAsia="zh-TW"/>
        </w:rPr>
        <w:t>D3.1</w:t>
      </w:r>
      <w:r w:rsidRPr="00052435">
        <w:rPr>
          <w:rFonts w:hint="eastAsia"/>
          <w:lang w:eastAsia="zh-TW"/>
        </w:rPr>
        <w:t>最後兩句為：“臣</w:t>
      </w:r>
      <w:r w:rsidRPr="00052435">
        <w:rPr>
          <w:lang w:eastAsia="zh-TW"/>
        </w:rPr>
        <w:t>[</w:t>
      </w:r>
      <w:r w:rsidRPr="00052435">
        <w:rPr>
          <w:rFonts w:hint="eastAsia"/>
          <w:lang w:eastAsia="zh-TW"/>
        </w:rPr>
        <w:t>妾</w:t>
      </w:r>
      <w:r w:rsidRPr="00052435">
        <w:rPr>
          <w:lang w:eastAsia="zh-TW"/>
        </w:rPr>
        <w:t>]</w:t>
      </w:r>
      <w:r w:rsidRPr="00052435">
        <w:rPr>
          <w:rFonts w:hint="eastAsia"/>
          <w:lang w:eastAsia="zh-TW"/>
        </w:rPr>
        <w:t>謹為男女子王甲拜度錄章一通，上詣三天曹，伏須告報。臣</w:t>
      </w:r>
      <w:r w:rsidRPr="00052435">
        <w:rPr>
          <w:lang w:eastAsia="zh-TW"/>
        </w:rPr>
        <w:t>[</w:t>
      </w:r>
      <w:r w:rsidRPr="00052435">
        <w:rPr>
          <w:rFonts w:hint="eastAsia"/>
          <w:lang w:eastAsia="zh-TW"/>
        </w:rPr>
        <w:t>妾</w:t>
      </w:r>
      <w:r w:rsidRPr="00052435">
        <w:rPr>
          <w:lang w:eastAsia="zh-TW"/>
        </w:rPr>
        <w:t>]</w:t>
      </w:r>
      <w:r w:rsidRPr="00052435">
        <w:rPr>
          <w:rFonts w:hint="eastAsia"/>
          <w:lang w:eastAsia="zh-TW"/>
        </w:rPr>
        <w:t>甲誠惶誠恐，稽首再拜，以聞。”末尾兩個字正是“以聞”，與《赤松子章暦》卷二“存思”條所說可以互相印證。第三，南朝劉宋以降迄今的章表科儀文獻（包括</w:t>
      </w:r>
      <w:proofErr w:type="spellStart"/>
      <w:r w:rsidRPr="00AF1B13">
        <w:rPr>
          <w:rFonts w:ascii="Times New Roman" w:hAnsi="Times New Roman" w:cs="Times New Roman"/>
          <w:lang w:eastAsia="zh-TW"/>
        </w:rPr>
        <w:t>Schipper</w:t>
      </w:r>
      <w:proofErr w:type="spellEnd"/>
      <w:r w:rsidRPr="00AF1B13">
        <w:rPr>
          <w:rFonts w:ascii="Times New Roman" w:hAnsi="Times New Roman" w:cs="Times New Roman"/>
          <w:lang w:eastAsia="zh-TW"/>
        </w:rPr>
        <w:t>、</w:t>
      </w:r>
      <w:r w:rsidRPr="00AF1B13">
        <w:rPr>
          <w:rFonts w:ascii="Times New Roman" w:hAnsi="Times New Roman" w:cs="Times New Roman"/>
          <w:lang w:eastAsia="zh-TW"/>
        </w:rPr>
        <w:t>Andersen</w:t>
      </w:r>
      <w:r w:rsidRPr="00052435">
        <w:rPr>
          <w:rFonts w:hint="eastAsia"/>
          <w:lang w:eastAsia="zh-TW"/>
        </w:rPr>
        <w:t>研究的台南章表科，劉勁</w:t>
      </w:r>
      <w:r w:rsidRPr="00052435">
        <w:rPr>
          <w:rFonts w:hint="eastAsia"/>
          <w:lang w:eastAsia="zh-TW"/>
        </w:rPr>
        <w:lastRenderedPageBreak/>
        <w:t>峰、</w:t>
      </w:r>
      <w:r w:rsidRPr="00AF1B13">
        <w:rPr>
          <w:rFonts w:ascii="Times New Roman" w:hAnsi="Times New Roman" w:cs="Times New Roman"/>
          <w:lang w:eastAsia="zh-TW"/>
        </w:rPr>
        <w:t>Fava</w:t>
      </w:r>
      <w:r w:rsidRPr="00052435">
        <w:rPr>
          <w:rFonts w:hint="eastAsia"/>
          <w:lang w:eastAsia="zh-TW"/>
        </w:rPr>
        <w:t>研究的江西萍鄉《章秘雲路》，王道長提到的“夢大表”，等等）均可證明祭酒需要親自上天呈章，也說明祭酒在存思狀態中上天呈章的做法通貫古今。有意思的是現存各地道教儀式作法不一致：湖南道士派遣功曹符使上天呈遞文書，似乎自己並不親自上天，可以印證張超然老師的觀點；江西道士以本命元神上天呈遞章表文書，要親自飛天一趟，與我的推斷一致。】</w:t>
      </w:r>
    </w:p>
    <w:p w14:paraId="2C54A5C4" w14:textId="4688079E" w:rsidR="002C0284" w:rsidRDefault="008A027D" w:rsidP="00612DD8">
      <w:pPr>
        <w:ind w:firstLine="480"/>
      </w:pPr>
      <w:r w:rsidRPr="00052435">
        <w:rPr>
          <w:rFonts w:hint="eastAsia"/>
          <w:lang w:eastAsia="zh-TW"/>
        </w:rPr>
        <w:t>最後，其他學者道長也對此進行了補充。程誠金從文書分類著眼，【道教的文書分（一）章、朱表、需要高功親自捧送。（二）疏、詞、申、家書，這幾種上移文書四值功曹上奏玉女送達就行。（三）下行的文書，比如牒、劄、符命也是由功曹送達。】李重陽觀察到廣西桂林道教也沒有親自上天上章，是由功曹待為上章。許世聰道長分享了自身經歷，其師父戴禮輝所教是【呈遞文書，是有差將的，不是自己的元辰上天的，什麼表文就差什麼將，送到什麼衙門的，這些將的總稱叫功曹，功是有功之臣，曹是在職的官，所以叫功曹。】許蔚則認為兩種方式可以並存，【《西遊記》中，孫悟空親自上天，但到四天師為止，四天師進通明殿通傳回來再告知孫悟空。同時，下界僧人道士的文疏則由功曹呈進。就是兩種情況同時存在。所以這個討論要區分不同時代，不同地域，不同法術傳統才有意義，混在一起說不清楚，要給個具體語境。】</w:t>
      </w:r>
    </w:p>
    <w:p w14:paraId="79917B8B" w14:textId="12231D29" w:rsidR="003C5751" w:rsidRDefault="003C5751" w:rsidP="00612DD8">
      <w:pPr>
        <w:ind w:firstLine="480"/>
      </w:pPr>
    </w:p>
    <w:p w14:paraId="068CB6E1" w14:textId="1B62C812" w:rsidR="00E706FD" w:rsidRDefault="00E706FD" w:rsidP="00974892">
      <w:pPr>
        <w:ind w:firstLine="480"/>
        <w:jc w:val="left"/>
        <w:rPr>
          <w:rFonts w:hint="eastAsia"/>
          <w:kern w:val="0"/>
          <w:szCs w:val="24"/>
        </w:rPr>
      </w:pPr>
    </w:p>
    <w:p w14:paraId="5767DC2F" w14:textId="467E428E" w:rsidR="007B509D" w:rsidRDefault="007B509D" w:rsidP="00974892">
      <w:pPr>
        <w:ind w:firstLine="480"/>
        <w:jc w:val="left"/>
        <w:rPr>
          <w:rFonts w:hint="eastAsia"/>
          <w:kern w:val="0"/>
          <w:szCs w:val="24"/>
        </w:rPr>
      </w:pPr>
      <w:r>
        <w:rPr>
          <w:noProof/>
          <w:kern w:val="0"/>
          <w:szCs w:val="24"/>
        </w:rPr>
        <w:lastRenderedPageBreak/>
        <w:drawing>
          <wp:inline distT="0" distB="0" distL="0" distR="0" wp14:anchorId="396ADE54" wp14:editId="6DA74E93">
            <wp:extent cx="5145405" cy="68586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45405" cy="6858635"/>
                    </a:xfrm>
                    <a:prstGeom prst="rect">
                      <a:avLst/>
                    </a:prstGeom>
                    <a:noFill/>
                  </pic:spPr>
                </pic:pic>
              </a:graphicData>
            </a:graphic>
          </wp:inline>
        </w:drawing>
      </w:r>
    </w:p>
    <w:p w14:paraId="74CC23AA" w14:textId="7A7273EA" w:rsidR="007B509D" w:rsidRDefault="007B509D" w:rsidP="00974892">
      <w:pPr>
        <w:ind w:firstLine="480"/>
        <w:jc w:val="left"/>
        <w:rPr>
          <w:rFonts w:hint="eastAsia"/>
          <w:kern w:val="0"/>
          <w:szCs w:val="24"/>
        </w:rPr>
      </w:pPr>
      <w:r>
        <w:rPr>
          <w:noProof/>
          <w:kern w:val="0"/>
          <w:szCs w:val="24"/>
        </w:rPr>
        <w:lastRenderedPageBreak/>
        <w:drawing>
          <wp:inline distT="0" distB="0" distL="0" distR="0" wp14:anchorId="34BC20AB" wp14:editId="619A606F">
            <wp:extent cx="5139690" cy="6858635"/>
            <wp:effectExtent l="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9690" cy="6858635"/>
                    </a:xfrm>
                    <a:prstGeom prst="rect">
                      <a:avLst/>
                    </a:prstGeom>
                    <a:noFill/>
                  </pic:spPr>
                </pic:pic>
              </a:graphicData>
            </a:graphic>
          </wp:inline>
        </w:drawing>
      </w:r>
    </w:p>
    <w:p w14:paraId="13D5BFF0" w14:textId="2AB1CB7E" w:rsidR="007B509D" w:rsidRDefault="007B509D" w:rsidP="00974892">
      <w:pPr>
        <w:ind w:firstLine="480"/>
        <w:jc w:val="left"/>
        <w:rPr>
          <w:rFonts w:hint="eastAsia"/>
          <w:kern w:val="0"/>
          <w:szCs w:val="24"/>
        </w:rPr>
      </w:pPr>
      <w:r>
        <w:rPr>
          <w:noProof/>
          <w:kern w:val="0"/>
          <w:szCs w:val="24"/>
        </w:rPr>
        <w:lastRenderedPageBreak/>
        <w:drawing>
          <wp:inline distT="0" distB="0" distL="0" distR="0" wp14:anchorId="04E912D0" wp14:editId="6BC2C94F">
            <wp:extent cx="5145405" cy="68586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5405" cy="6858635"/>
                    </a:xfrm>
                    <a:prstGeom prst="rect">
                      <a:avLst/>
                    </a:prstGeom>
                    <a:noFill/>
                  </pic:spPr>
                </pic:pic>
              </a:graphicData>
            </a:graphic>
          </wp:inline>
        </w:drawing>
      </w:r>
    </w:p>
    <w:p w14:paraId="68F02A30" w14:textId="426AE7D5" w:rsidR="007B509D" w:rsidRDefault="007B509D" w:rsidP="00974892">
      <w:pPr>
        <w:ind w:firstLine="480"/>
        <w:jc w:val="left"/>
        <w:rPr>
          <w:rFonts w:hint="eastAsia"/>
          <w:kern w:val="0"/>
          <w:szCs w:val="24"/>
        </w:rPr>
      </w:pPr>
      <w:r>
        <w:rPr>
          <w:noProof/>
          <w:kern w:val="0"/>
          <w:szCs w:val="24"/>
        </w:rPr>
        <w:lastRenderedPageBreak/>
        <w:drawing>
          <wp:inline distT="0" distB="0" distL="0" distR="0" wp14:anchorId="4A888C86" wp14:editId="449C7CC2">
            <wp:extent cx="5145405" cy="685863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5405" cy="6858635"/>
                    </a:xfrm>
                    <a:prstGeom prst="rect">
                      <a:avLst/>
                    </a:prstGeom>
                    <a:noFill/>
                  </pic:spPr>
                </pic:pic>
              </a:graphicData>
            </a:graphic>
          </wp:inline>
        </w:drawing>
      </w:r>
    </w:p>
    <w:p w14:paraId="1A4CA98D" w14:textId="08EFE400" w:rsidR="007B509D" w:rsidRDefault="007B509D" w:rsidP="00974892">
      <w:pPr>
        <w:ind w:firstLine="480"/>
        <w:jc w:val="left"/>
        <w:rPr>
          <w:rFonts w:hint="eastAsia"/>
          <w:kern w:val="0"/>
          <w:szCs w:val="24"/>
        </w:rPr>
      </w:pPr>
      <w:r>
        <w:rPr>
          <w:noProof/>
          <w:kern w:val="0"/>
          <w:szCs w:val="24"/>
        </w:rPr>
        <w:lastRenderedPageBreak/>
        <w:drawing>
          <wp:inline distT="0" distB="0" distL="0" distR="0" wp14:anchorId="4B326994" wp14:editId="7740B86B">
            <wp:extent cx="5145405" cy="685863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5405" cy="6858635"/>
                    </a:xfrm>
                    <a:prstGeom prst="rect">
                      <a:avLst/>
                    </a:prstGeom>
                    <a:noFill/>
                  </pic:spPr>
                </pic:pic>
              </a:graphicData>
            </a:graphic>
          </wp:inline>
        </w:drawing>
      </w:r>
    </w:p>
    <w:p w14:paraId="0C3E6D88" w14:textId="454B2415" w:rsidR="007B509D" w:rsidRDefault="007B509D" w:rsidP="00974892">
      <w:pPr>
        <w:ind w:firstLine="480"/>
        <w:jc w:val="left"/>
        <w:rPr>
          <w:rFonts w:hint="eastAsia"/>
          <w:kern w:val="0"/>
          <w:szCs w:val="24"/>
        </w:rPr>
      </w:pPr>
      <w:r>
        <w:rPr>
          <w:noProof/>
          <w:kern w:val="0"/>
          <w:szCs w:val="24"/>
        </w:rPr>
        <w:lastRenderedPageBreak/>
        <w:drawing>
          <wp:inline distT="0" distB="0" distL="0" distR="0" wp14:anchorId="0C4B5F1F" wp14:editId="3173DF52">
            <wp:extent cx="5139690" cy="6858635"/>
            <wp:effectExtent l="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39690" cy="6858635"/>
                    </a:xfrm>
                    <a:prstGeom prst="rect">
                      <a:avLst/>
                    </a:prstGeom>
                    <a:noFill/>
                  </pic:spPr>
                </pic:pic>
              </a:graphicData>
            </a:graphic>
          </wp:inline>
        </w:drawing>
      </w:r>
    </w:p>
    <w:p w14:paraId="6EB4048E" w14:textId="03C86C92" w:rsidR="007B509D" w:rsidRDefault="007B509D" w:rsidP="00974892">
      <w:pPr>
        <w:ind w:firstLine="480"/>
        <w:jc w:val="left"/>
        <w:rPr>
          <w:rFonts w:hint="eastAsia"/>
          <w:kern w:val="0"/>
          <w:szCs w:val="24"/>
        </w:rPr>
      </w:pPr>
      <w:r>
        <w:rPr>
          <w:noProof/>
          <w:kern w:val="0"/>
          <w:szCs w:val="24"/>
        </w:rPr>
        <w:lastRenderedPageBreak/>
        <w:drawing>
          <wp:inline distT="0" distB="0" distL="0" distR="0" wp14:anchorId="3AF6D096" wp14:editId="71FCA164">
            <wp:extent cx="5145405" cy="685863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5405" cy="6858635"/>
                    </a:xfrm>
                    <a:prstGeom prst="rect">
                      <a:avLst/>
                    </a:prstGeom>
                    <a:noFill/>
                  </pic:spPr>
                </pic:pic>
              </a:graphicData>
            </a:graphic>
          </wp:inline>
        </w:drawing>
      </w:r>
    </w:p>
    <w:p w14:paraId="1ED7D193" w14:textId="0F9334AA" w:rsidR="007B509D" w:rsidRDefault="007B509D" w:rsidP="00974892">
      <w:pPr>
        <w:ind w:firstLine="480"/>
        <w:jc w:val="left"/>
        <w:rPr>
          <w:rFonts w:hint="eastAsia"/>
          <w:kern w:val="0"/>
          <w:szCs w:val="24"/>
        </w:rPr>
      </w:pPr>
      <w:r>
        <w:rPr>
          <w:noProof/>
          <w:kern w:val="0"/>
          <w:szCs w:val="24"/>
        </w:rPr>
        <w:lastRenderedPageBreak/>
        <w:drawing>
          <wp:inline distT="0" distB="0" distL="0" distR="0" wp14:anchorId="1A33B3E5" wp14:editId="3EF9C8A5">
            <wp:extent cx="5139690" cy="6858635"/>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39690" cy="6858635"/>
                    </a:xfrm>
                    <a:prstGeom prst="rect">
                      <a:avLst/>
                    </a:prstGeom>
                    <a:noFill/>
                  </pic:spPr>
                </pic:pic>
              </a:graphicData>
            </a:graphic>
          </wp:inline>
        </w:drawing>
      </w:r>
    </w:p>
    <w:p w14:paraId="1D58259E" w14:textId="1CE6A89A" w:rsidR="007B509D" w:rsidRPr="00F4488D" w:rsidRDefault="007B509D" w:rsidP="00974892">
      <w:pPr>
        <w:ind w:firstLine="480"/>
        <w:jc w:val="left"/>
        <w:rPr>
          <w:kern w:val="0"/>
          <w:szCs w:val="24"/>
        </w:rPr>
      </w:pPr>
      <w:r>
        <w:rPr>
          <w:noProof/>
          <w:kern w:val="0"/>
          <w:szCs w:val="24"/>
        </w:rPr>
        <w:lastRenderedPageBreak/>
        <w:drawing>
          <wp:inline distT="0" distB="0" distL="0" distR="0" wp14:anchorId="6C77A048" wp14:editId="627E288E">
            <wp:extent cx="5145405" cy="685863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5405" cy="6858635"/>
                    </a:xfrm>
                    <a:prstGeom prst="rect">
                      <a:avLst/>
                    </a:prstGeom>
                    <a:noFill/>
                  </pic:spPr>
                </pic:pic>
              </a:graphicData>
            </a:graphic>
          </wp:inline>
        </w:drawing>
      </w:r>
    </w:p>
    <w:sectPr w:rsidR="007B509D" w:rsidRPr="00F4488D" w:rsidSect="00E41CF0">
      <w:headerReference w:type="even" r:id="rId17"/>
      <w:headerReference w:type="default" r:id="rId18"/>
      <w:footerReference w:type="even" r:id="rId19"/>
      <w:footerReference w:type="default" r:id="rId20"/>
      <w:headerReference w:type="first" r:id="rId21"/>
      <w:footerReference w:type="first" r:id="rId2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DB9B82" w14:textId="77777777" w:rsidR="00DB4E09" w:rsidRDefault="00DB4E09" w:rsidP="002C0284">
      <w:pPr>
        <w:spacing w:line="240" w:lineRule="auto"/>
        <w:ind w:firstLine="480"/>
      </w:pPr>
      <w:r>
        <w:separator/>
      </w:r>
    </w:p>
  </w:endnote>
  <w:endnote w:type="continuationSeparator" w:id="0">
    <w:p w14:paraId="51148B32" w14:textId="77777777" w:rsidR="00DB4E09" w:rsidRDefault="00DB4E09" w:rsidP="002C0284">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Mangal">
    <w:altName w:val="Cambria Math"/>
    <w:panose1 w:val="02040503050203030202"/>
    <w:charset w:val="01"/>
    <w:family w:val="roman"/>
    <w:notTrueType/>
    <w:pitch w:val="variable"/>
    <w:sig w:usb0="00002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Songti SC">
    <w:altName w:val="Arial Unicode MS"/>
    <w:charset w:val="86"/>
    <w:family w:val="auto"/>
    <w:pitch w:val="variable"/>
    <w:sig w:usb0="00000287" w:usb1="080F0000" w:usb2="00000010" w:usb3="00000000" w:csb0="0004009F" w:csb1="00000000"/>
  </w:font>
  <w:font w:name="等线 Light">
    <w:altName w:val="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71672F" w14:textId="77777777" w:rsidR="00F04273" w:rsidRDefault="00F04273" w:rsidP="00F04273">
    <w:pPr>
      <w:pStyle w:val="a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972EEA" w14:textId="77777777" w:rsidR="00F04273" w:rsidRDefault="00F04273" w:rsidP="00F04273">
    <w:pPr>
      <w:pStyle w:val="a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988150" w14:textId="77777777" w:rsidR="00F04273" w:rsidRDefault="00F04273" w:rsidP="00F04273">
    <w:pPr>
      <w:pStyle w:val="a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1AA061" w14:textId="77777777" w:rsidR="00DB4E09" w:rsidRDefault="00DB4E09" w:rsidP="002C0284">
      <w:pPr>
        <w:spacing w:line="240" w:lineRule="auto"/>
        <w:ind w:firstLine="480"/>
      </w:pPr>
      <w:r>
        <w:separator/>
      </w:r>
    </w:p>
  </w:footnote>
  <w:footnote w:type="continuationSeparator" w:id="0">
    <w:p w14:paraId="18559AA3" w14:textId="77777777" w:rsidR="00DB4E09" w:rsidRDefault="00DB4E09" w:rsidP="002C0284">
      <w:pPr>
        <w:spacing w:line="240" w:lineRule="auto"/>
        <w:ind w:firstLine="480"/>
      </w:pPr>
      <w:r>
        <w:continuationSeparator/>
      </w:r>
    </w:p>
  </w:footnote>
  <w:footnote w:id="1">
    <w:p w14:paraId="28C4B72B" w14:textId="27779F90" w:rsidR="00171BA4" w:rsidRPr="00171BA4" w:rsidRDefault="00171BA4" w:rsidP="00171BA4">
      <w:pPr>
        <w:pStyle w:val="a3"/>
        <w:ind w:firstLine="360"/>
      </w:pPr>
      <w:r>
        <w:rPr>
          <w:rStyle w:val="a4"/>
        </w:rPr>
        <w:footnoteRef/>
      </w:r>
      <w:r w:rsidR="008A027D">
        <w:rPr>
          <w:rFonts w:hint="eastAsia"/>
          <w:lang w:eastAsia="zh-TW"/>
        </w:rPr>
        <w:t>本次</w:t>
      </w:r>
      <w:r w:rsidR="008A027D" w:rsidRPr="00171BA4">
        <w:rPr>
          <w:rFonts w:hint="eastAsia"/>
          <w:lang w:eastAsia="zh-TW"/>
        </w:rPr>
        <w:t>主講人</w:t>
      </w:r>
      <w:r w:rsidR="008A027D">
        <w:rPr>
          <w:rFonts w:hint="eastAsia"/>
          <w:lang w:eastAsia="zh-TW"/>
        </w:rPr>
        <w:t>為西南交通大學</w:t>
      </w:r>
      <w:r w:rsidR="008A027D" w:rsidRPr="00171BA4">
        <w:rPr>
          <w:rFonts w:hint="eastAsia"/>
          <w:lang w:eastAsia="zh-TW"/>
        </w:rPr>
        <w:t>吳楊</w:t>
      </w:r>
      <w:r w:rsidR="008A027D">
        <w:rPr>
          <w:rFonts w:hint="eastAsia"/>
          <w:lang w:eastAsia="zh-TW"/>
        </w:rPr>
        <w:t>博士，</w:t>
      </w:r>
      <w:r w:rsidR="008A027D" w:rsidRPr="00D50B4E">
        <w:rPr>
          <w:rFonts w:hint="eastAsia"/>
          <w:lang w:eastAsia="zh-TW"/>
        </w:rPr>
        <w:t>本講內容可參考呂鵬志，《唐前道教儀式史綱》，北京：中華書局，頁</w:t>
      </w:r>
      <w:r w:rsidR="008A027D" w:rsidRPr="00D50B4E">
        <w:rPr>
          <w:lang w:eastAsia="zh-TW"/>
        </w:rPr>
        <w:t>11-37</w:t>
      </w:r>
      <w:r w:rsidR="008A027D" w:rsidRPr="00D50B4E">
        <w:rPr>
          <w:rFonts w:hint="eastAsia"/>
          <w:lang w:eastAsia="zh-TW"/>
        </w:rPr>
        <w:t>、</w:t>
      </w:r>
      <w:r w:rsidR="008A027D" w:rsidRPr="00D50B4E">
        <w:rPr>
          <w:lang w:eastAsia="zh-TW"/>
        </w:rPr>
        <w:t>193-240</w:t>
      </w:r>
      <w:r w:rsidR="008A027D" w:rsidRPr="00D50B4E">
        <w:rPr>
          <w:rFonts w:hint="eastAsia"/>
          <w:lang w:eastAsia="zh-TW"/>
        </w:rPr>
        <w:t>。</w:t>
      </w:r>
      <w:r w:rsidR="008A027D">
        <w:rPr>
          <w:rFonts w:hint="eastAsia"/>
          <w:lang w:eastAsia="zh-TW"/>
        </w:rPr>
        <w:t>問題討論主要涉及的材料見《赤松子章曆》。</w:t>
      </w:r>
      <w:r w:rsidR="008A027D" w:rsidRPr="00D50B4E">
        <w:rPr>
          <w:rFonts w:hint="eastAsia"/>
          <w:lang w:eastAsia="zh-TW"/>
        </w:rPr>
        <w:t>呂鵬志，《天師道授籙科儀——敦煌寫本</w:t>
      </w:r>
      <w:r w:rsidR="008A027D" w:rsidRPr="00D50B4E">
        <w:rPr>
          <w:lang w:eastAsia="zh-TW"/>
        </w:rPr>
        <w:t>S203</w:t>
      </w:r>
      <w:r w:rsidR="008A027D" w:rsidRPr="00D50B4E">
        <w:rPr>
          <w:rFonts w:hint="eastAsia"/>
          <w:lang w:eastAsia="zh-TW"/>
        </w:rPr>
        <w:t>考論》，《中央研究院歷史語言研究所集刊》</w:t>
      </w:r>
      <w:r w:rsidR="008A027D" w:rsidRPr="00D50B4E">
        <w:rPr>
          <w:lang w:eastAsia="zh-TW"/>
        </w:rPr>
        <w:t>77.1</w:t>
      </w:r>
      <w:r w:rsidR="008A027D" w:rsidRPr="00D50B4E">
        <w:rPr>
          <w:rFonts w:hint="eastAsia"/>
          <w:lang w:eastAsia="zh-TW"/>
        </w:rPr>
        <w:t>（</w:t>
      </w:r>
      <w:r w:rsidR="008A027D" w:rsidRPr="00D50B4E">
        <w:rPr>
          <w:lang w:eastAsia="zh-TW"/>
        </w:rPr>
        <w:t>2006</w:t>
      </w:r>
      <w:r w:rsidR="008A027D" w:rsidRPr="00D50B4E">
        <w:rPr>
          <w:rFonts w:hint="eastAsia"/>
          <w:lang w:eastAsia="zh-TW"/>
        </w:rPr>
        <w:t>）：</w:t>
      </w:r>
      <w:r w:rsidR="008A027D" w:rsidRPr="00D50B4E">
        <w:rPr>
          <w:lang w:eastAsia="zh-TW"/>
        </w:rPr>
        <w:t>79</w:t>
      </w:r>
      <w:r w:rsidR="008A027D" w:rsidRPr="00D50B4E">
        <w:rPr>
          <w:rFonts w:hint="eastAsia"/>
          <w:lang w:eastAsia="zh-TW"/>
        </w:rPr>
        <w:t>－</w:t>
      </w:r>
      <w:r w:rsidR="008A027D" w:rsidRPr="00D50B4E">
        <w:rPr>
          <w:lang w:eastAsia="zh-TW"/>
        </w:rPr>
        <w:t>166</w:t>
      </w:r>
      <w:r w:rsidR="008A027D" w:rsidRPr="00D50B4E">
        <w:rPr>
          <w:rFonts w:hint="eastAsia"/>
          <w:lang w:eastAsia="zh-TW"/>
        </w:rPr>
        <w:t>。</w:t>
      </w:r>
    </w:p>
  </w:footnote>
  <w:footnote w:id="2">
    <w:p w14:paraId="3460DBA0" w14:textId="0FCB9FBB" w:rsidR="007C0F00" w:rsidRDefault="007C0F00" w:rsidP="007C0F00">
      <w:pPr>
        <w:pStyle w:val="a3"/>
        <w:ind w:firstLine="360"/>
      </w:pPr>
      <w:r>
        <w:rPr>
          <w:rStyle w:val="a4"/>
        </w:rPr>
        <w:footnoteRef/>
      </w:r>
      <w:r w:rsidR="008A027D">
        <w:rPr>
          <w:lang w:eastAsia="zh-TW"/>
        </w:rPr>
        <w:t xml:space="preserve"> </w:t>
      </w:r>
      <w:r w:rsidR="008A027D">
        <w:rPr>
          <w:rFonts w:hint="eastAsia"/>
          <w:lang w:eastAsia="zh-TW"/>
        </w:rPr>
        <w:t>可參張超然：《</w:t>
      </w:r>
      <w:r w:rsidR="008A027D" w:rsidRPr="00FA3EAD">
        <w:rPr>
          <w:rFonts w:hint="eastAsia"/>
          <w:lang w:eastAsia="zh-TW"/>
        </w:rPr>
        <w:t>天師道祭酒親自上天呈章</w:t>
      </w:r>
      <w:r w:rsidR="008A027D">
        <w:rPr>
          <w:rFonts w:hint="eastAsia"/>
          <w:lang w:eastAsia="zh-TW"/>
        </w:rPr>
        <w:t>？》，載</w:t>
      </w:r>
      <w:r w:rsidR="008A027D" w:rsidRPr="00FA3EAD">
        <w:rPr>
          <w:rFonts w:hint="eastAsia"/>
          <w:lang w:eastAsia="zh-TW"/>
        </w:rPr>
        <w:t>程恭讓編</w:t>
      </w:r>
      <w:r w:rsidR="008A027D">
        <w:rPr>
          <w:rFonts w:hint="eastAsia"/>
          <w:lang w:eastAsia="zh-TW"/>
        </w:rPr>
        <w:t>，《</w:t>
      </w:r>
      <w:r w:rsidR="008A027D" w:rsidRPr="00FA3EAD">
        <w:rPr>
          <w:rFonts w:hint="eastAsia"/>
          <w:lang w:eastAsia="zh-TW"/>
        </w:rPr>
        <w:t>天問：傳統文化與現代社會</w:t>
      </w:r>
      <w:r w:rsidR="008A027D">
        <w:rPr>
          <w:rFonts w:hint="eastAsia"/>
          <w:lang w:eastAsia="zh-TW"/>
        </w:rPr>
        <w:t>》，江蘇人民出版社，</w:t>
      </w:r>
      <w:r w:rsidR="008A027D">
        <w:rPr>
          <w:lang w:eastAsia="zh-TW"/>
        </w:rPr>
        <w:t>2010</w:t>
      </w:r>
      <w:r w:rsidR="008A027D">
        <w:rPr>
          <w:rFonts w:hint="eastAsia"/>
          <w:lang w:eastAsia="zh-TW"/>
        </w:rPr>
        <w:t>年，頁</w:t>
      </w:r>
      <w:r w:rsidR="008A027D">
        <w:rPr>
          <w:lang w:eastAsia="zh-TW"/>
        </w:rPr>
        <w:t>171-187</w:t>
      </w:r>
      <w:r w:rsidR="008A027D">
        <w:rPr>
          <w:rFonts w:hint="eastAsia"/>
          <w:lang w:eastAsia="zh-TW"/>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452627" w14:textId="77777777" w:rsidR="00F04273" w:rsidRDefault="00F04273" w:rsidP="00F04273">
    <w:pPr>
      <w:pStyle w:val="a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5D613E" w14:textId="77777777" w:rsidR="00F04273" w:rsidRPr="008A027D" w:rsidRDefault="00F04273" w:rsidP="008A027D">
    <w:pPr>
      <w:ind w:left="480" w:firstLineChars="0"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DE78F" w14:textId="77777777" w:rsidR="00F04273" w:rsidRDefault="00F04273" w:rsidP="00F04273">
    <w:pPr>
      <w:pStyle w:val="a5"/>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0284"/>
    <w:rsid w:val="0001053C"/>
    <w:rsid w:val="0003245D"/>
    <w:rsid w:val="00042B5A"/>
    <w:rsid w:val="00052435"/>
    <w:rsid w:val="0007399D"/>
    <w:rsid w:val="000B1218"/>
    <w:rsid w:val="00171BA4"/>
    <w:rsid w:val="001B0554"/>
    <w:rsid w:val="001E136B"/>
    <w:rsid w:val="00262F90"/>
    <w:rsid w:val="002762DA"/>
    <w:rsid w:val="0028736D"/>
    <w:rsid w:val="002C0284"/>
    <w:rsid w:val="002C2407"/>
    <w:rsid w:val="002E2CB5"/>
    <w:rsid w:val="002F6A19"/>
    <w:rsid w:val="003017C1"/>
    <w:rsid w:val="003436BD"/>
    <w:rsid w:val="00354435"/>
    <w:rsid w:val="00355EA2"/>
    <w:rsid w:val="003577FD"/>
    <w:rsid w:val="00361311"/>
    <w:rsid w:val="00363254"/>
    <w:rsid w:val="00373082"/>
    <w:rsid w:val="003A723E"/>
    <w:rsid w:val="003C1628"/>
    <w:rsid w:val="003C5751"/>
    <w:rsid w:val="003C5C2B"/>
    <w:rsid w:val="003E2A52"/>
    <w:rsid w:val="00426412"/>
    <w:rsid w:val="00432FB2"/>
    <w:rsid w:val="004551C0"/>
    <w:rsid w:val="00462C2A"/>
    <w:rsid w:val="004C4F03"/>
    <w:rsid w:val="004C60C4"/>
    <w:rsid w:val="004D6075"/>
    <w:rsid w:val="00552E6E"/>
    <w:rsid w:val="00574A14"/>
    <w:rsid w:val="005B1067"/>
    <w:rsid w:val="00612DD8"/>
    <w:rsid w:val="00655CD5"/>
    <w:rsid w:val="00665717"/>
    <w:rsid w:val="006B01EC"/>
    <w:rsid w:val="00713C84"/>
    <w:rsid w:val="00741F84"/>
    <w:rsid w:val="007658FE"/>
    <w:rsid w:val="00771EB2"/>
    <w:rsid w:val="007B091A"/>
    <w:rsid w:val="007B4432"/>
    <w:rsid w:val="007B509D"/>
    <w:rsid w:val="007C0F00"/>
    <w:rsid w:val="00894761"/>
    <w:rsid w:val="008A027D"/>
    <w:rsid w:val="008E2A6B"/>
    <w:rsid w:val="008E31E9"/>
    <w:rsid w:val="00951837"/>
    <w:rsid w:val="00974892"/>
    <w:rsid w:val="009754EB"/>
    <w:rsid w:val="009C03BC"/>
    <w:rsid w:val="009C7910"/>
    <w:rsid w:val="009E7D51"/>
    <w:rsid w:val="00AC3523"/>
    <w:rsid w:val="00AE6B94"/>
    <w:rsid w:val="00AF1B13"/>
    <w:rsid w:val="00B02233"/>
    <w:rsid w:val="00B44DE8"/>
    <w:rsid w:val="00B457DD"/>
    <w:rsid w:val="00B47D63"/>
    <w:rsid w:val="00B63A8B"/>
    <w:rsid w:val="00BA445E"/>
    <w:rsid w:val="00BD1E29"/>
    <w:rsid w:val="00BE1124"/>
    <w:rsid w:val="00BE6E5F"/>
    <w:rsid w:val="00C73207"/>
    <w:rsid w:val="00C95BE9"/>
    <w:rsid w:val="00CA1DA0"/>
    <w:rsid w:val="00CD7CC2"/>
    <w:rsid w:val="00D20F6A"/>
    <w:rsid w:val="00D23E02"/>
    <w:rsid w:val="00D50B4E"/>
    <w:rsid w:val="00D52E11"/>
    <w:rsid w:val="00D8161A"/>
    <w:rsid w:val="00D95CFC"/>
    <w:rsid w:val="00DB4E09"/>
    <w:rsid w:val="00DC3344"/>
    <w:rsid w:val="00DE7CE4"/>
    <w:rsid w:val="00E41CF0"/>
    <w:rsid w:val="00E706FD"/>
    <w:rsid w:val="00F04273"/>
    <w:rsid w:val="00F056CD"/>
    <w:rsid w:val="00F4488D"/>
    <w:rsid w:val="00F572FF"/>
    <w:rsid w:val="00FA3E68"/>
    <w:rsid w:val="00FD09AB"/>
  </w:rsids>
  <m:mathPr>
    <m:mathFont m:val="Cambria Math"/>
    <m:brkBin m:val="before"/>
    <m:brkBinSub m:val="--"/>
    <m:smallFrac m:val="0"/>
    <m:dispDef/>
    <m:lMargin m:val="0"/>
    <m:rMargin m:val="0"/>
    <m:defJc m:val="centerGroup"/>
    <m:wrapIndent m:val="1440"/>
    <m:intLim m:val="subSup"/>
    <m:naryLim m:val="undOvr"/>
  </m:mathPr>
  <w:themeFontLang w:val="en-US" w:eastAsia="zh-CN" w:bidi="sa-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BC5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1"/>
        <w:lang w:val="en-US" w:eastAsia="zh-CN" w:bidi="sa-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2DD8"/>
    <w:pPr>
      <w:widowControl w:val="0"/>
      <w:spacing w:line="360" w:lineRule="auto"/>
      <w:ind w:firstLineChars="200" w:firstLine="200"/>
      <w:jc w:val="both"/>
    </w:pPr>
    <w:rPr>
      <w:rFonts w:eastAsia="宋体"/>
      <w:kern w:val="2"/>
      <w:szCs w:val="22"/>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Char"/>
    <w:uiPriority w:val="99"/>
    <w:semiHidden/>
    <w:unhideWhenUsed/>
    <w:rsid w:val="002C0284"/>
    <w:pPr>
      <w:snapToGrid w:val="0"/>
      <w:jc w:val="left"/>
    </w:pPr>
    <w:rPr>
      <w:sz w:val="18"/>
      <w:szCs w:val="18"/>
    </w:rPr>
  </w:style>
  <w:style w:type="character" w:customStyle="1" w:styleId="Char">
    <w:name w:val="脚注文本 Char"/>
    <w:basedOn w:val="a0"/>
    <w:link w:val="a3"/>
    <w:uiPriority w:val="99"/>
    <w:semiHidden/>
    <w:rsid w:val="002C0284"/>
    <w:rPr>
      <w:kern w:val="2"/>
      <w:sz w:val="18"/>
      <w:szCs w:val="18"/>
      <w:lang w:val="en-US" w:bidi="ar-SA"/>
    </w:rPr>
  </w:style>
  <w:style w:type="character" w:styleId="a4">
    <w:name w:val="footnote reference"/>
    <w:basedOn w:val="a0"/>
    <w:uiPriority w:val="99"/>
    <w:semiHidden/>
    <w:unhideWhenUsed/>
    <w:rsid w:val="002C0284"/>
    <w:rPr>
      <w:vertAlign w:val="superscript"/>
    </w:rPr>
  </w:style>
  <w:style w:type="paragraph" w:styleId="a5">
    <w:name w:val="header"/>
    <w:basedOn w:val="a"/>
    <w:link w:val="Char0"/>
    <w:uiPriority w:val="99"/>
    <w:unhideWhenUsed/>
    <w:rsid w:val="00F04273"/>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0">
    <w:name w:val="页眉 Char"/>
    <w:basedOn w:val="a0"/>
    <w:link w:val="a5"/>
    <w:uiPriority w:val="99"/>
    <w:rsid w:val="00F04273"/>
    <w:rPr>
      <w:rFonts w:eastAsia="宋体"/>
      <w:kern w:val="2"/>
      <w:sz w:val="18"/>
      <w:szCs w:val="18"/>
      <w:lang w:bidi="ar-SA"/>
    </w:rPr>
  </w:style>
  <w:style w:type="paragraph" w:styleId="a6">
    <w:name w:val="footer"/>
    <w:basedOn w:val="a"/>
    <w:link w:val="Char1"/>
    <w:uiPriority w:val="99"/>
    <w:unhideWhenUsed/>
    <w:rsid w:val="00F04273"/>
    <w:pPr>
      <w:tabs>
        <w:tab w:val="center" w:pos="4153"/>
        <w:tab w:val="right" w:pos="8306"/>
      </w:tabs>
      <w:snapToGrid w:val="0"/>
      <w:spacing w:line="240" w:lineRule="auto"/>
      <w:jc w:val="left"/>
    </w:pPr>
    <w:rPr>
      <w:sz w:val="18"/>
      <w:szCs w:val="18"/>
    </w:rPr>
  </w:style>
  <w:style w:type="character" w:customStyle="1" w:styleId="Char1">
    <w:name w:val="页脚 Char"/>
    <w:basedOn w:val="a0"/>
    <w:link w:val="a6"/>
    <w:uiPriority w:val="99"/>
    <w:rsid w:val="00F04273"/>
    <w:rPr>
      <w:rFonts w:eastAsia="宋体"/>
      <w:kern w:val="2"/>
      <w:sz w:val="18"/>
      <w:szCs w:val="18"/>
      <w:lang w:bidi="ar-SA"/>
    </w:rPr>
  </w:style>
  <w:style w:type="paragraph" w:styleId="a7">
    <w:name w:val="Balloon Text"/>
    <w:basedOn w:val="a"/>
    <w:link w:val="Char2"/>
    <w:uiPriority w:val="99"/>
    <w:semiHidden/>
    <w:unhideWhenUsed/>
    <w:rsid w:val="007B509D"/>
    <w:pPr>
      <w:spacing w:line="240" w:lineRule="auto"/>
    </w:pPr>
    <w:rPr>
      <w:sz w:val="18"/>
      <w:szCs w:val="18"/>
    </w:rPr>
  </w:style>
  <w:style w:type="character" w:customStyle="1" w:styleId="Char2">
    <w:name w:val="批注框文本 Char"/>
    <w:basedOn w:val="a0"/>
    <w:link w:val="a7"/>
    <w:uiPriority w:val="99"/>
    <w:semiHidden/>
    <w:rsid w:val="007B509D"/>
    <w:rPr>
      <w:rFonts w:eastAsia="宋体"/>
      <w:kern w:val="2"/>
      <w:sz w:val="18"/>
      <w:szCs w:val="18"/>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1"/>
        <w:lang w:val="en-US" w:eastAsia="zh-CN" w:bidi="sa-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2DD8"/>
    <w:pPr>
      <w:widowControl w:val="0"/>
      <w:spacing w:line="360" w:lineRule="auto"/>
      <w:ind w:firstLineChars="200" w:firstLine="200"/>
      <w:jc w:val="both"/>
    </w:pPr>
    <w:rPr>
      <w:rFonts w:eastAsia="宋体"/>
      <w:kern w:val="2"/>
      <w:szCs w:val="22"/>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Char"/>
    <w:uiPriority w:val="99"/>
    <w:semiHidden/>
    <w:unhideWhenUsed/>
    <w:rsid w:val="002C0284"/>
    <w:pPr>
      <w:snapToGrid w:val="0"/>
      <w:jc w:val="left"/>
    </w:pPr>
    <w:rPr>
      <w:sz w:val="18"/>
      <w:szCs w:val="18"/>
    </w:rPr>
  </w:style>
  <w:style w:type="character" w:customStyle="1" w:styleId="Char">
    <w:name w:val="脚注文本 Char"/>
    <w:basedOn w:val="a0"/>
    <w:link w:val="a3"/>
    <w:uiPriority w:val="99"/>
    <w:semiHidden/>
    <w:rsid w:val="002C0284"/>
    <w:rPr>
      <w:kern w:val="2"/>
      <w:sz w:val="18"/>
      <w:szCs w:val="18"/>
      <w:lang w:val="en-US" w:bidi="ar-SA"/>
    </w:rPr>
  </w:style>
  <w:style w:type="character" w:styleId="a4">
    <w:name w:val="footnote reference"/>
    <w:basedOn w:val="a0"/>
    <w:uiPriority w:val="99"/>
    <w:semiHidden/>
    <w:unhideWhenUsed/>
    <w:rsid w:val="002C0284"/>
    <w:rPr>
      <w:vertAlign w:val="superscript"/>
    </w:rPr>
  </w:style>
  <w:style w:type="paragraph" w:styleId="a5">
    <w:name w:val="header"/>
    <w:basedOn w:val="a"/>
    <w:link w:val="Char0"/>
    <w:uiPriority w:val="99"/>
    <w:unhideWhenUsed/>
    <w:rsid w:val="00F04273"/>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0">
    <w:name w:val="页眉 Char"/>
    <w:basedOn w:val="a0"/>
    <w:link w:val="a5"/>
    <w:uiPriority w:val="99"/>
    <w:rsid w:val="00F04273"/>
    <w:rPr>
      <w:rFonts w:eastAsia="宋体"/>
      <w:kern w:val="2"/>
      <w:sz w:val="18"/>
      <w:szCs w:val="18"/>
      <w:lang w:bidi="ar-SA"/>
    </w:rPr>
  </w:style>
  <w:style w:type="paragraph" w:styleId="a6">
    <w:name w:val="footer"/>
    <w:basedOn w:val="a"/>
    <w:link w:val="Char1"/>
    <w:uiPriority w:val="99"/>
    <w:unhideWhenUsed/>
    <w:rsid w:val="00F04273"/>
    <w:pPr>
      <w:tabs>
        <w:tab w:val="center" w:pos="4153"/>
        <w:tab w:val="right" w:pos="8306"/>
      </w:tabs>
      <w:snapToGrid w:val="0"/>
      <w:spacing w:line="240" w:lineRule="auto"/>
      <w:jc w:val="left"/>
    </w:pPr>
    <w:rPr>
      <w:sz w:val="18"/>
      <w:szCs w:val="18"/>
    </w:rPr>
  </w:style>
  <w:style w:type="character" w:customStyle="1" w:styleId="Char1">
    <w:name w:val="页脚 Char"/>
    <w:basedOn w:val="a0"/>
    <w:link w:val="a6"/>
    <w:uiPriority w:val="99"/>
    <w:rsid w:val="00F04273"/>
    <w:rPr>
      <w:rFonts w:eastAsia="宋体"/>
      <w:kern w:val="2"/>
      <w:sz w:val="18"/>
      <w:szCs w:val="18"/>
      <w:lang w:bidi="ar-SA"/>
    </w:rPr>
  </w:style>
  <w:style w:type="paragraph" w:styleId="a7">
    <w:name w:val="Balloon Text"/>
    <w:basedOn w:val="a"/>
    <w:link w:val="Char2"/>
    <w:uiPriority w:val="99"/>
    <w:semiHidden/>
    <w:unhideWhenUsed/>
    <w:rsid w:val="007B509D"/>
    <w:pPr>
      <w:spacing w:line="240" w:lineRule="auto"/>
    </w:pPr>
    <w:rPr>
      <w:sz w:val="18"/>
      <w:szCs w:val="18"/>
    </w:rPr>
  </w:style>
  <w:style w:type="character" w:customStyle="1" w:styleId="Char2">
    <w:name w:val="批注框文本 Char"/>
    <w:basedOn w:val="a0"/>
    <w:link w:val="a7"/>
    <w:uiPriority w:val="99"/>
    <w:semiHidden/>
    <w:rsid w:val="007B509D"/>
    <w:rPr>
      <w:rFonts w:eastAsia="宋体"/>
      <w:kern w:val="2"/>
      <w:sz w:val="18"/>
      <w:szCs w:val="18"/>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697002">
      <w:bodyDiv w:val="1"/>
      <w:marLeft w:val="0"/>
      <w:marRight w:val="0"/>
      <w:marTop w:val="0"/>
      <w:marBottom w:val="0"/>
      <w:divBdr>
        <w:top w:val="none" w:sz="0" w:space="0" w:color="auto"/>
        <w:left w:val="none" w:sz="0" w:space="0" w:color="auto"/>
        <w:bottom w:val="none" w:sz="0" w:space="0" w:color="auto"/>
        <w:right w:val="none" w:sz="0" w:space="0" w:color="auto"/>
      </w:divBdr>
    </w:div>
    <w:div w:id="556672989">
      <w:bodyDiv w:val="1"/>
      <w:marLeft w:val="0"/>
      <w:marRight w:val="0"/>
      <w:marTop w:val="0"/>
      <w:marBottom w:val="0"/>
      <w:divBdr>
        <w:top w:val="none" w:sz="0" w:space="0" w:color="auto"/>
        <w:left w:val="none" w:sz="0" w:space="0" w:color="auto"/>
        <w:bottom w:val="none" w:sz="0" w:space="0" w:color="auto"/>
        <w:right w:val="none" w:sz="0" w:space="0" w:color="auto"/>
      </w:divBdr>
    </w:div>
    <w:div w:id="672562551">
      <w:bodyDiv w:val="1"/>
      <w:marLeft w:val="0"/>
      <w:marRight w:val="0"/>
      <w:marTop w:val="0"/>
      <w:marBottom w:val="0"/>
      <w:divBdr>
        <w:top w:val="none" w:sz="0" w:space="0" w:color="auto"/>
        <w:left w:val="none" w:sz="0" w:space="0" w:color="auto"/>
        <w:bottom w:val="none" w:sz="0" w:space="0" w:color="auto"/>
        <w:right w:val="none" w:sz="0" w:space="0" w:color="auto"/>
      </w:divBdr>
    </w:div>
    <w:div w:id="677466213">
      <w:bodyDiv w:val="1"/>
      <w:marLeft w:val="0"/>
      <w:marRight w:val="0"/>
      <w:marTop w:val="0"/>
      <w:marBottom w:val="0"/>
      <w:divBdr>
        <w:top w:val="none" w:sz="0" w:space="0" w:color="auto"/>
        <w:left w:val="none" w:sz="0" w:space="0" w:color="auto"/>
        <w:bottom w:val="none" w:sz="0" w:space="0" w:color="auto"/>
        <w:right w:val="none" w:sz="0" w:space="0" w:color="auto"/>
      </w:divBdr>
    </w:div>
    <w:div w:id="817186371">
      <w:bodyDiv w:val="1"/>
      <w:marLeft w:val="0"/>
      <w:marRight w:val="0"/>
      <w:marTop w:val="0"/>
      <w:marBottom w:val="0"/>
      <w:divBdr>
        <w:top w:val="none" w:sz="0" w:space="0" w:color="auto"/>
        <w:left w:val="none" w:sz="0" w:space="0" w:color="auto"/>
        <w:bottom w:val="none" w:sz="0" w:space="0" w:color="auto"/>
        <w:right w:val="none" w:sz="0" w:space="0" w:color="auto"/>
      </w:divBdr>
    </w:div>
    <w:div w:id="947853051">
      <w:bodyDiv w:val="1"/>
      <w:marLeft w:val="0"/>
      <w:marRight w:val="0"/>
      <w:marTop w:val="0"/>
      <w:marBottom w:val="0"/>
      <w:divBdr>
        <w:top w:val="none" w:sz="0" w:space="0" w:color="auto"/>
        <w:left w:val="none" w:sz="0" w:space="0" w:color="auto"/>
        <w:bottom w:val="none" w:sz="0" w:space="0" w:color="auto"/>
        <w:right w:val="none" w:sz="0" w:space="0" w:color="auto"/>
      </w:divBdr>
    </w:div>
    <w:div w:id="988904464">
      <w:bodyDiv w:val="1"/>
      <w:marLeft w:val="0"/>
      <w:marRight w:val="0"/>
      <w:marTop w:val="0"/>
      <w:marBottom w:val="0"/>
      <w:divBdr>
        <w:top w:val="none" w:sz="0" w:space="0" w:color="auto"/>
        <w:left w:val="none" w:sz="0" w:space="0" w:color="auto"/>
        <w:bottom w:val="none" w:sz="0" w:space="0" w:color="auto"/>
        <w:right w:val="none" w:sz="0" w:space="0" w:color="auto"/>
      </w:divBdr>
    </w:div>
    <w:div w:id="1530030540">
      <w:bodyDiv w:val="1"/>
      <w:marLeft w:val="0"/>
      <w:marRight w:val="0"/>
      <w:marTop w:val="0"/>
      <w:marBottom w:val="0"/>
      <w:divBdr>
        <w:top w:val="none" w:sz="0" w:space="0" w:color="auto"/>
        <w:left w:val="none" w:sz="0" w:space="0" w:color="auto"/>
        <w:bottom w:val="none" w:sz="0" w:space="0" w:color="auto"/>
        <w:right w:val="none" w:sz="0" w:space="0" w:color="auto"/>
      </w:divBdr>
    </w:div>
    <w:div w:id="1547831358">
      <w:bodyDiv w:val="1"/>
      <w:marLeft w:val="0"/>
      <w:marRight w:val="0"/>
      <w:marTop w:val="0"/>
      <w:marBottom w:val="0"/>
      <w:divBdr>
        <w:top w:val="none" w:sz="0" w:space="0" w:color="auto"/>
        <w:left w:val="none" w:sz="0" w:space="0" w:color="auto"/>
        <w:bottom w:val="none" w:sz="0" w:space="0" w:color="auto"/>
        <w:right w:val="none" w:sz="0" w:space="0" w:color="auto"/>
      </w:divBdr>
    </w:div>
    <w:div w:id="1554466815">
      <w:bodyDiv w:val="1"/>
      <w:marLeft w:val="0"/>
      <w:marRight w:val="0"/>
      <w:marTop w:val="0"/>
      <w:marBottom w:val="0"/>
      <w:divBdr>
        <w:top w:val="none" w:sz="0" w:space="0" w:color="auto"/>
        <w:left w:val="none" w:sz="0" w:space="0" w:color="auto"/>
        <w:bottom w:val="none" w:sz="0" w:space="0" w:color="auto"/>
        <w:right w:val="none" w:sz="0" w:space="0" w:color="auto"/>
      </w:divBdr>
    </w:div>
    <w:div w:id="1594244734">
      <w:bodyDiv w:val="1"/>
      <w:marLeft w:val="0"/>
      <w:marRight w:val="0"/>
      <w:marTop w:val="0"/>
      <w:marBottom w:val="0"/>
      <w:divBdr>
        <w:top w:val="none" w:sz="0" w:space="0" w:color="auto"/>
        <w:left w:val="none" w:sz="0" w:space="0" w:color="auto"/>
        <w:bottom w:val="none" w:sz="0" w:space="0" w:color="auto"/>
        <w:right w:val="none" w:sz="0" w:space="0" w:color="auto"/>
      </w:divBdr>
    </w:div>
    <w:div w:id="1872181874">
      <w:bodyDiv w:val="1"/>
      <w:marLeft w:val="0"/>
      <w:marRight w:val="0"/>
      <w:marTop w:val="0"/>
      <w:marBottom w:val="0"/>
      <w:divBdr>
        <w:top w:val="none" w:sz="0" w:space="0" w:color="auto"/>
        <w:left w:val="none" w:sz="0" w:space="0" w:color="auto"/>
        <w:bottom w:val="none" w:sz="0" w:space="0" w:color="auto"/>
        <w:right w:val="none" w:sz="0" w:space="0" w:color="auto"/>
      </w:divBdr>
    </w:div>
    <w:div w:id="2009749256">
      <w:bodyDiv w:val="1"/>
      <w:marLeft w:val="0"/>
      <w:marRight w:val="0"/>
      <w:marTop w:val="0"/>
      <w:marBottom w:val="0"/>
      <w:divBdr>
        <w:top w:val="none" w:sz="0" w:space="0" w:color="auto"/>
        <w:left w:val="none" w:sz="0" w:space="0" w:color="auto"/>
        <w:bottom w:val="none" w:sz="0" w:space="0" w:color="auto"/>
        <w:right w:val="none" w:sz="0" w:space="0" w:color="auto"/>
      </w:divBdr>
    </w:div>
    <w:div w:id="2078555226">
      <w:bodyDiv w:val="1"/>
      <w:marLeft w:val="0"/>
      <w:marRight w:val="0"/>
      <w:marTop w:val="0"/>
      <w:marBottom w:val="0"/>
      <w:divBdr>
        <w:top w:val="none" w:sz="0" w:space="0" w:color="auto"/>
        <w:left w:val="none" w:sz="0" w:space="0" w:color="auto"/>
        <w:bottom w:val="none" w:sz="0" w:space="0" w:color="auto"/>
        <w:right w:val="none" w:sz="0" w:space="0" w:color="auto"/>
      </w:divBdr>
    </w:div>
    <w:div w:id="2109305429">
      <w:bodyDiv w:val="1"/>
      <w:marLeft w:val="0"/>
      <w:marRight w:val="0"/>
      <w:marTop w:val="0"/>
      <w:marBottom w:val="0"/>
      <w:divBdr>
        <w:top w:val="none" w:sz="0" w:space="0" w:color="auto"/>
        <w:left w:val="none" w:sz="0" w:space="0" w:color="auto"/>
        <w:bottom w:val="none" w:sz="0" w:space="0" w:color="auto"/>
        <w:right w:val="none" w:sz="0" w:space="0" w:color="auto"/>
      </w:divBdr>
    </w:div>
    <w:div w:id="2134592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2.xml"/><Relationship Id="rId3" Type="http://schemas.microsoft.com/office/2007/relationships/stylesWithEffects" Target="stylesWithEffect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64D1D2-69A0-4723-894D-253942EDA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TotalTime>
  <Pages>13</Pages>
  <Words>515</Words>
  <Characters>2936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Yang Wu</dc:creator>
  <cp:keywords/>
  <dc:description/>
  <cp:lastModifiedBy>薛聪</cp:lastModifiedBy>
  <cp:revision>64</cp:revision>
  <dcterms:created xsi:type="dcterms:W3CDTF">2020-04-29T01:53:00Z</dcterms:created>
  <dcterms:modified xsi:type="dcterms:W3CDTF">2020-07-16T02:08:00Z</dcterms:modified>
</cp:coreProperties>
</file>